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1223" w:rsidRDefault="00241223" w:rsidP="00C47274">
      <w:pPr>
        <w:spacing w:after="0"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ТРАНСПОРТНІ ЗАСОБИ НА ТЕРИТОРІЇ ПІДПРИЄМСТВА:</w:t>
      </w:r>
    </w:p>
    <w:p w:rsidR="00241223" w:rsidRDefault="00241223" w:rsidP="00C47274">
      <w:pPr>
        <w:spacing w:after="0"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ВИМОГИ ДО МІСЦЬ ОБСЛУГОВУВАННЯ</w:t>
      </w:r>
    </w:p>
    <w:p w:rsidR="00241223" w:rsidRDefault="00241223" w:rsidP="00C47274">
      <w:pPr>
        <w:spacing w:after="0" w:line="240" w:lineRule="auto"/>
        <w:ind w:firstLine="567"/>
        <w:jc w:val="both"/>
        <w:rPr>
          <w:rFonts w:ascii="Times New Roman" w:hAnsi="Times New Roman" w:cs="Times New Roman"/>
          <w:color w:val="000000"/>
          <w:sz w:val="26"/>
          <w:szCs w:val="26"/>
        </w:rPr>
      </w:pPr>
    </w:p>
    <w:p w:rsidR="00241223" w:rsidRDefault="00241223" w:rsidP="00C47274">
      <w:pPr>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На багатьох підприємствах, де експлуатують транспортні засоби (далі – ТЗ), є приміщення та споруди для їх обслуговування. </w:t>
      </w:r>
    </w:p>
    <w:p w:rsidR="00241223" w:rsidRDefault="00241223" w:rsidP="00C47274">
      <w:pPr>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Експлуатація цих приміщень має здійснюватися тільки за своїм призначенням, передбаченим проектом.</w:t>
      </w:r>
    </w:p>
    <w:p w:rsidR="00241223" w:rsidRDefault="00241223" w:rsidP="00C47274">
      <w:pPr>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На всі будівлі та споруди  має бути відповідна документація (паспорти, акти, технічні журнали, проекти тощо).</w:t>
      </w:r>
    </w:p>
    <w:p w:rsidR="00241223" w:rsidRDefault="00241223" w:rsidP="00C47274">
      <w:pPr>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Небезпечні зони і дільниці на території підприємства, перебування та виконання робіт на яких пов’язано з небезпекою для працівників, позначають сигнальними кольорами і знаками безпеки, дорожніми знаками відповідно до Технічного регламенту знаків безпеки і захисту здоров’я працівників, Правил дорожнього руху, та інших нормативних документів.</w:t>
      </w:r>
    </w:p>
    <w:p w:rsidR="00241223" w:rsidRDefault="00241223" w:rsidP="00C47274">
      <w:pPr>
        <w:spacing w:after="0" w:line="240" w:lineRule="auto"/>
        <w:ind w:firstLine="709"/>
        <w:jc w:val="both"/>
        <w:rPr>
          <w:rFonts w:ascii="Times New Roman" w:hAnsi="Times New Roman" w:cs="Times New Roman"/>
          <w:b/>
          <w:bCs/>
          <w:color w:val="000000"/>
          <w:sz w:val="26"/>
          <w:szCs w:val="26"/>
        </w:rPr>
      </w:pPr>
      <w:r>
        <w:rPr>
          <w:rFonts w:ascii="Times New Roman" w:hAnsi="Times New Roman" w:cs="Times New Roman"/>
          <w:color w:val="000000"/>
          <w:sz w:val="26"/>
          <w:szCs w:val="26"/>
        </w:rPr>
        <w:t xml:space="preserve">На території та у виробничих приміщеннях підприємств </w:t>
      </w:r>
      <w:r>
        <w:rPr>
          <w:rFonts w:ascii="Times New Roman" w:hAnsi="Times New Roman" w:cs="Times New Roman"/>
          <w:b/>
          <w:bCs/>
          <w:color w:val="000000"/>
          <w:sz w:val="26"/>
          <w:szCs w:val="26"/>
        </w:rPr>
        <w:t>не допускається:</w:t>
      </w:r>
    </w:p>
    <w:p w:rsidR="00241223" w:rsidRDefault="00241223" w:rsidP="00C47274">
      <w:pPr>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 захаращувати дороги, проходи, під’їзди до пожежних гідрантів, місць розташування пожежного інвентарю та обладнання;</w:t>
      </w:r>
    </w:p>
    <w:p w:rsidR="00241223" w:rsidRDefault="00241223" w:rsidP="00C47274">
      <w:pPr>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 розміщувати на відкритих майданчиках ТЗ у кількості, яка перевищує норму, а також порушувати встановлений порядок їх розташування;</w:t>
      </w:r>
    </w:p>
    <w:p w:rsidR="00241223" w:rsidRDefault="00241223" w:rsidP="00C47274">
      <w:pPr>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 курити поза межами спеціально відведених для цього місць;</w:t>
      </w:r>
    </w:p>
    <w:p w:rsidR="00241223" w:rsidRDefault="00241223" w:rsidP="00C47274">
      <w:pPr>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 користуватися відкритим полум’ям у непередбачених для цього місцях, не вживаючи відповідних протипожежних заходів;</w:t>
      </w:r>
    </w:p>
    <w:p w:rsidR="00241223" w:rsidRDefault="00241223" w:rsidP="00C47274">
      <w:pPr>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 завалювати запасні ворота як зсередини, так і ззовні, – підхід та під’їзд до них завжди має бути вільним;</w:t>
      </w:r>
    </w:p>
    <w:p w:rsidR="00241223" w:rsidRDefault="00241223" w:rsidP="00C47274">
      <w:pPr>
        <w:spacing w:after="0" w:line="240" w:lineRule="auto"/>
        <w:ind w:firstLine="709"/>
        <w:jc w:val="both"/>
        <w:rPr>
          <w:rFonts w:ascii="Times New Roman" w:hAnsi="Times New Roman" w:cs="Times New Roman"/>
          <w:b/>
          <w:bCs/>
          <w:color w:val="000000"/>
          <w:sz w:val="26"/>
          <w:szCs w:val="26"/>
        </w:rPr>
      </w:pPr>
      <w:r>
        <w:rPr>
          <w:rFonts w:ascii="Times New Roman" w:hAnsi="Times New Roman" w:cs="Times New Roman"/>
          <w:color w:val="000000"/>
          <w:sz w:val="26"/>
          <w:szCs w:val="26"/>
        </w:rPr>
        <w:t>- неправильно розміщувати і зберігати (привалювати, спирати) матеріали, агрегати, запчастини тощо до елементів будинків, споруд, устаткування й огорож.</w:t>
      </w:r>
    </w:p>
    <w:p w:rsidR="00241223" w:rsidRDefault="00241223" w:rsidP="00C47274">
      <w:pPr>
        <w:spacing w:after="0" w:line="240" w:lineRule="auto"/>
        <w:ind w:firstLine="709"/>
        <w:jc w:val="center"/>
        <w:rPr>
          <w:rFonts w:ascii="Times New Roman" w:hAnsi="Times New Roman" w:cs="Times New Roman"/>
          <w:b/>
          <w:bCs/>
          <w:color w:val="000000"/>
          <w:sz w:val="26"/>
          <w:szCs w:val="26"/>
        </w:rPr>
      </w:pPr>
    </w:p>
    <w:p w:rsidR="00241223" w:rsidRDefault="00241223" w:rsidP="00C47274">
      <w:pPr>
        <w:spacing w:after="0" w:line="240" w:lineRule="auto"/>
        <w:ind w:firstLine="709"/>
        <w:jc w:val="center"/>
        <w:rPr>
          <w:rFonts w:ascii="Times New Roman" w:hAnsi="Times New Roman" w:cs="Times New Roman"/>
          <w:b/>
          <w:bCs/>
          <w:color w:val="000000"/>
          <w:sz w:val="26"/>
          <w:szCs w:val="26"/>
        </w:rPr>
      </w:pPr>
      <w:r>
        <w:rPr>
          <w:rFonts w:ascii="Times New Roman" w:hAnsi="Times New Roman" w:cs="Times New Roman"/>
          <w:b/>
          <w:bCs/>
          <w:color w:val="000000"/>
          <w:sz w:val="26"/>
          <w:szCs w:val="26"/>
        </w:rPr>
        <w:t>Вимоги до оглядових канав та естакад</w:t>
      </w:r>
    </w:p>
    <w:p w:rsidR="00241223" w:rsidRDefault="00241223" w:rsidP="00C47274">
      <w:pPr>
        <w:spacing w:after="0" w:line="240" w:lineRule="auto"/>
        <w:ind w:firstLine="709"/>
        <w:jc w:val="center"/>
        <w:rPr>
          <w:rFonts w:ascii="Times New Roman" w:hAnsi="Times New Roman" w:cs="Times New Roman"/>
          <w:b/>
          <w:bCs/>
          <w:color w:val="000000"/>
          <w:sz w:val="26"/>
          <w:szCs w:val="26"/>
        </w:rPr>
      </w:pPr>
    </w:p>
    <w:p w:rsidR="00241223" w:rsidRDefault="00241223" w:rsidP="00C47274">
      <w:pPr>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Розташування оглядових канав і естакад на території підприємства або у спеціальних приміщеннях має забезпечувати безпечний заїзд та з’їзд із них ТЗ. Заборонено влаштовувати оглядові канави та погреби у гаражах для зберігання автомобілів, які працюють на газовому паливі.</w:t>
      </w:r>
    </w:p>
    <w:p w:rsidR="00241223" w:rsidRDefault="00241223" w:rsidP="00C47274">
      <w:pPr>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Довжина робочої зони оглядової канави й естакади має бути не меншою за габаритну довжину ТЗ, щоб ТЗ міг повністю встановлюватися на канаву, не закриваючи вхідні сходи і запасний вихід.</w:t>
      </w:r>
    </w:p>
    <w:p w:rsidR="00241223" w:rsidRDefault="00241223" w:rsidP="00C47274">
      <w:pPr>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Ширину оглядової канави й естакади встановлюють залежно від розмірів колії ТЗ.</w:t>
      </w:r>
    </w:p>
    <w:p w:rsidR="00241223" w:rsidRDefault="00241223" w:rsidP="00C47274">
      <w:pPr>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Глибина оглядових канав і висота естакад мають забезпечувати вільний доступ до деталей, вузлів і агрегатів, розташованих знизу ТЗ, і становити:</w:t>
      </w:r>
    </w:p>
    <w:p w:rsidR="00241223" w:rsidRDefault="00241223" w:rsidP="00C47274">
      <w:pPr>
        <w:spacing w:after="0" w:line="240" w:lineRule="auto"/>
        <w:ind w:left="709"/>
        <w:jc w:val="both"/>
        <w:rPr>
          <w:rFonts w:ascii="Times New Roman" w:hAnsi="Times New Roman" w:cs="Times New Roman"/>
          <w:color w:val="000000"/>
          <w:sz w:val="26"/>
          <w:szCs w:val="26"/>
        </w:rPr>
      </w:pPr>
      <w:r>
        <w:rPr>
          <w:rFonts w:ascii="Times New Roman" w:hAnsi="Times New Roman" w:cs="Times New Roman"/>
          <w:color w:val="000000"/>
          <w:sz w:val="26"/>
          <w:szCs w:val="26"/>
        </w:rPr>
        <w:t>- для легкових автомобілів і автобусів особливо малого класу – 1,3-1,5 м;</w:t>
      </w:r>
    </w:p>
    <w:p w:rsidR="00241223" w:rsidRDefault="00241223" w:rsidP="00C47274">
      <w:pPr>
        <w:spacing w:after="0" w:line="240" w:lineRule="auto"/>
        <w:ind w:left="709"/>
        <w:jc w:val="both"/>
        <w:rPr>
          <w:rFonts w:ascii="Times New Roman" w:hAnsi="Times New Roman" w:cs="Times New Roman"/>
          <w:color w:val="000000"/>
          <w:sz w:val="26"/>
          <w:szCs w:val="26"/>
        </w:rPr>
      </w:pPr>
      <w:r>
        <w:rPr>
          <w:rFonts w:ascii="Times New Roman" w:hAnsi="Times New Roman" w:cs="Times New Roman"/>
          <w:color w:val="000000"/>
          <w:sz w:val="26"/>
          <w:szCs w:val="26"/>
        </w:rPr>
        <w:t>- для вантажних автомобілів і автобусів – 1,1-1,2 м;</w:t>
      </w:r>
    </w:p>
    <w:p w:rsidR="00241223" w:rsidRDefault="00241223" w:rsidP="00C47274">
      <w:pPr>
        <w:spacing w:after="0" w:line="240" w:lineRule="auto"/>
        <w:ind w:left="709"/>
        <w:jc w:val="both"/>
        <w:rPr>
          <w:rFonts w:ascii="Times New Roman" w:hAnsi="Times New Roman" w:cs="Times New Roman"/>
          <w:color w:val="000000"/>
          <w:sz w:val="26"/>
          <w:szCs w:val="26"/>
        </w:rPr>
      </w:pPr>
      <w:r>
        <w:rPr>
          <w:rFonts w:ascii="Times New Roman" w:hAnsi="Times New Roman" w:cs="Times New Roman"/>
          <w:color w:val="000000"/>
          <w:sz w:val="26"/>
          <w:szCs w:val="26"/>
        </w:rPr>
        <w:t>- для великотоннажних автомобілів-самоскидів – 0,5-0,7 м.</w:t>
      </w:r>
    </w:p>
    <w:p w:rsidR="00241223" w:rsidRDefault="00241223" w:rsidP="00C47274">
      <w:pPr>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Оглядові канави для входу до них і виходу обладнуються сходами завширшки не менше 0,7 м.</w:t>
      </w:r>
    </w:p>
    <w:p w:rsidR="00241223" w:rsidRDefault="00241223" w:rsidP="00C47274">
      <w:pPr>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Підлога у приміщеннях для обслуговування авто має бути рівна, з твердим покриттям, без виступів і вибоїн, непроникна для ґрунтових вод.</w:t>
      </w:r>
    </w:p>
    <w:p w:rsidR="00241223" w:rsidRDefault="00241223" w:rsidP="00C47274">
      <w:pPr>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На дні (підлозі) канави укладають міцні дерев’яні решітки.</w:t>
      </w:r>
    </w:p>
    <w:p w:rsidR="00241223" w:rsidRDefault="00241223" w:rsidP="00C47274">
      <w:pPr>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Освітлення оглядових канав ліхтарями (з лампами розжарювання або люмінесцентними лампами), живлення яких здійснюється напругою 127-220 В, допускається за таких умов:</w:t>
      </w:r>
    </w:p>
    <w:p w:rsidR="00241223" w:rsidRDefault="00241223" w:rsidP="00C47274">
      <w:pPr>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 уся електрична мережа має бути внутрішньою (схованою), з надійною електро- і гідроізоляцією;</w:t>
      </w:r>
    </w:p>
    <w:p w:rsidR="00241223" w:rsidRDefault="00241223" w:rsidP="00C47274">
      <w:pPr>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 освітлювальна арматура і вимикачі мають електро- і гідроізоляцію;</w:t>
      </w:r>
    </w:p>
    <w:p w:rsidR="00241223" w:rsidRDefault="00241223" w:rsidP="00C47274">
      <w:pPr>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 світильники закриті склом і огороджені захисною решіткою;</w:t>
      </w:r>
    </w:p>
    <w:p w:rsidR="00241223" w:rsidRDefault="00241223" w:rsidP="00C47274">
      <w:pPr>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 металевий корпус світильника заземлений.</w:t>
      </w:r>
    </w:p>
    <w:p w:rsidR="00241223" w:rsidRDefault="00241223" w:rsidP="00C47274">
      <w:pPr>
        <w:spacing w:after="0" w:line="240" w:lineRule="auto"/>
        <w:ind w:firstLine="709"/>
        <w:jc w:val="both"/>
        <w:rPr>
          <w:rFonts w:ascii="Times New Roman" w:hAnsi="Times New Roman" w:cs="Times New Roman"/>
          <w:b/>
          <w:bCs/>
          <w:color w:val="000000"/>
          <w:sz w:val="26"/>
          <w:szCs w:val="26"/>
        </w:rPr>
      </w:pPr>
    </w:p>
    <w:p w:rsidR="00241223" w:rsidRDefault="00241223" w:rsidP="00C47274">
      <w:pPr>
        <w:spacing w:after="0" w:line="240" w:lineRule="auto"/>
        <w:ind w:firstLine="709"/>
        <w:jc w:val="center"/>
        <w:rPr>
          <w:rFonts w:ascii="Times New Roman" w:hAnsi="Times New Roman" w:cs="Times New Roman"/>
          <w:b/>
          <w:bCs/>
          <w:color w:val="000000"/>
          <w:sz w:val="26"/>
          <w:szCs w:val="26"/>
        </w:rPr>
      </w:pPr>
      <w:r>
        <w:rPr>
          <w:rFonts w:ascii="Times New Roman" w:hAnsi="Times New Roman" w:cs="Times New Roman"/>
          <w:b/>
          <w:bCs/>
          <w:color w:val="000000"/>
          <w:sz w:val="26"/>
          <w:szCs w:val="26"/>
        </w:rPr>
        <w:t>Вимоги до в’їздів та виїздів</w:t>
      </w:r>
    </w:p>
    <w:p w:rsidR="00241223" w:rsidRDefault="00241223" w:rsidP="00C47274">
      <w:pPr>
        <w:spacing w:after="0" w:line="240" w:lineRule="auto"/>
        <w:ind w:firstLine="709"/>
        <w:jc w:val="center"/>
        <w:rPr>
          <w:rFonts w:ascii="Times New Roman" w:hAnsi="Times New Roman" w:cs="Times New Roman"/>
          <w:b/>
          <w:bCs/>
          <w:color w:val="000000"/>
          <w:sz w:val="26"/>
          <w:szCs w:val="26"/>
        </w:rPr>
      </w:pPr>
    </w:p>
    <w:p w:rsidR="00241223" w:rsidRDefault="00241223" w:rsidP="00C47274">
      <w:pPr>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Ворота основного в’їзду на територію підприємства слід розташовувати на відстані не меншій за найбільшу довжину ТЗ, що експлуатуються на підприємстві. Ширину в’їзних воріт на територію підприємства необхідно брати за найбільшу ширину ТЗ, плюс 1,5 м, але не менше 4,5 м. Стулчасті ворота виробничих приміщень мають відчинятися назовні, а для в’їзду на територію підприємства і виїзду з нього – всередину. Ворота обладнують пристроями, що унеможливлюють їх самовільне зачинення або відчинення.</w:t>
      </w:r>
    </w:p>
    <w:p w:rsidR="00241223" w:rsidRDefault="00241223" w:rsidP="00C47274">
      <w:pPr>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В’їзди у виробничі приміщення мають бути без порогів і виступів, а в’їзний ухил має бути не більше 5 %.</w:t>
      </w:r>
    </w:p>
    <w:p w:rsidR="00241223" w:rsidRDefault="00241223" w:rsidP="00C47274">
      <w:pPr>
        <w:spacing w:after="0" w:line="240" w:lineRule="auto"/>
        <w:ind w:firstLine="709"/>
        <w:jc w:val="both"/>
        <w:rPr>
          <w:rFonts w:ascii="Times New Roman" w:hAnsi="Times New Roman" w:cs="Times New Roman"/>
          <w:b/>
          <w:bCs/>
          <w:color w:val="000000"/>
          <w:sz w:val="26"/>
          <w:szCs w:val="26"/>
        </w:rPr>
      </w:pPr>
    </w:p>
    <w:p w:rsidR="00241223" w:rsidRDefault="00241223" w:rsidP="00C47274">
      <w:pPr>
        <w:spacing w:after="0" w:line="240" w:lineRule="auto"/>
        <w:ind w:firstLine="709"/>
        <w:jc w:val="center"/>
        <w:rPr>
          <w:rFonts w:ascii="Times New Roman" w:hAnsi="Times New Roman" w:cs="Times New Roman"/>
          <w:b/>
          <w:bCs/>
          <w:color w:val="000000"/>
          <w:sz w:val="26"/>
          <w:szCs w:val="26"/>
        </w:rPr>
      </w:pPr>
      <w:r>
        <w:rPr>
          <w:rFonts w:ascii="Times New Roman" w:hAnsi="Times New Roman" w:cs="Times New Roman"/>
          <w:b/>
          <w:bCs/>
          <w:color w:val="000000"/>
          <w:sz w:val="26"/>
          <w:szCs w:val="26"/>
        </w:rPr>
        <w:t>Пожежна безпека під час обслуговування автомобілів</w:t>
      </w:r>
    </w:p>
    <w:p w:rsidR="00241223" w:rsidRDefault="00241223" w:rsidP="00C47274">
      <w:pPr>
        <w:spacing w:after="0" w:line="240" w:lineRule="auto"/>
        <w:ind w:firstLine="709"/>
        <w:jc w:val="center"/>
        <w:rPr>
          <w:rFonts w:ascii="Times New Roman" w:hAnsi="Times New Roman" w:cs="Times New Roman"/>
          <w:b/>
          <w:bCs/>
          <w:color w:val="000000"/>
          <w:sz w:val="26"/>
          <w:szCs w:val="26"/>
        </w:rPr>
      </w:pPr>
    </w:p>
    <w:p w:rsidR="00241223" w:rsidRDefault="00241223" w:rsidP="00C47274">
      <w:pPr>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Приміщення для обслуговування автомобілів слід відділяти протипожежними стінами (перегородками) від приміщень для зберігання автомобілів.</w:t>
      </w:r>
    </w:p>
    <w:p w:rsidR="00241223" w:rsidRDefault="00241223" w:rsidP="00C47274">
      <w:pPr>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У приміщеннях для ремонту та у підсобних приміщеннях не дозволяється здійснювати капітальний та середній ремонт транспорту з баками, наповненими пальним (балонами, заповненими газом), та картерами, заповненими моторною оливою.</w:t>
      </w:r>
    </w:p>
    <w:p w:rsidR="00241223" w:rsidRDefault="00241223" w:rsidP="00C47274">
      <w:pPr>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Під час ремонту бензобаків необхідно попередньо промити їх гарячою водою або розчином каустичної соди, продути парою, просушити гарячим повітрям до повного видалення залишків ЛЗР. Очищення слід здійснювати на відкритому повітрі або у вентильованому приміщенні, а зварювання чи паяння – з відкритими отворами бензобаків та заповненням резервуара водою.</w:t>
      </w:r>
    </w:p>
    <w:p w:rsidR="00241223" w:rsidRDefault="00241223" w:rsidP="00C47274">
      <w:pPr>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Перед фарбуванням та сушінням ТЗ їхні бензобаки слід знімати або проводити заходи з їх очищення (пропарювання, сушіння тощо).</w:t>
      </w:r>
    </w:p>
    <w:p w:rsidR="00241223" w:rsidRDefault="00241223" w:rsidP="00C47274">
      <w:pPr>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Гаражі та автомайстерні мають бути укомплектовані вогнегасниками відповідно до Типових норм належності вогнегасників. </w:t>
      </w:r>
    </w:p>
    <w:p w:rsidR="00241223" w:rsidRDefault="00241223" w:rsidP="00C47274">
      <w:pPr>
        <w:spacing w:after="0" w:line="240" w:lineRule="auto"/>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Автомобілі та інші ТЗ забезпечують вогнегасниками відповідно до Переліку транспортних засобів і норм їх оснащення вогнегасниками.</w:t>
      </w:r>
    </w:p>
    <w:p w:rsidR="00241223" w:rsidRDefault="00241223" w:rsidP="00162AA5">
      <w:pPr>
        <w:spacing w:after="240" w:line="288" w:lineRule="auto"/>
        <w:jc w:val="both"/>
        <w:rPr>
          <w:rFonts w:ascii="Times New Roman" w:hAnsi="Times New Roman" w:cs="Times New Roman"/>
          <w:sz w:val="24"/>
          <w:szCs w:val="24"/>
        </w:rPr>
      </w:pPr>
      <w:bookmarkStart w:id="0" w:name="_GoBack"/>
      <w:bookmarkEnd w:id="0"/>
    </w:p>
    <w:p w:rsidR="00241223" w:rsidRPr="003500A3" w:rsidRDefault="00241223" w:rsidP="003500A3">
      <w:pPr>
        <w:tabs>
          <w:tab w:val="left" w:pos="0"/>
        </w:tabs>
        <w:spacing w:after="0" w:line="240" w:lineRule="auto"/>
        <w:ind w:left="2832"/>
        <w:jc w:val="right"/>
        <w:rPr>
          <w:rFonts w:ascii="Times New Roman" w:hAnsi="Times New Roman" w:cs="Times New Roman"/>
          <w:i/>
          <w:iCs/>
          <w:color w:val="000000"/>
          <w:sz w:val="24"/>
          <w:szCs w:val="24"/>
          <w:lang w:eastAsia="uk-UA"/>
        </w:rPr>
      </w:pPr>
      <w:r>
        <w:rPr>
          <w:rFonts w:ascii="Times New Roman" w:hAnsi="Times New Roman" w:cs="Times New Roman"/>
          <w:color w:val="000000"/>
          <w:sz w:val="26"/>
          <w:szCs w:val="26"/>
          <w:lang w:eastAsia="uk-UA"/>
        </w:rPr>
        <w:tab/>
      </w:r>
      <w:r>
        <w:rPr>
          <w:rFonts w:ascii="Times New Roman" w:hAnsi="Times New Roman" w:cs="Times New Roman"/>
          <w:color w:val="000000"/>
          <w:sz w:val="26"/>
          <w:szCs w:val="26"/>
          <w:lang w:eastAsia="uk-UA"/>
        </w:rPr>
        <w:tab/>
      </w:r>
      <w:r w:rsidRPr="003500A3">
        <w:rPr>
          <w:rFonts w:ascii="Times New Roman" w:hAnsi="Times New Roman" w:cs="Times New Roman"/>
          <w:i/>
          <w:iCs/>
          <w:color w:val="000000"/>
          <w:sz w:val="24"/>
          <w:szCs w:val="24"/>
          <w:lang w:eastAsia="uk-UA"/>
        </w:rPr>
        <w:t>Новгород-Сіверське  відділення управління</w:t>
      </w:r>
    </w:p>
    <w:p w:rsidR="00241223" w:rsidRPr="003500A3" w:rsidRDefault="00241223" w:rsidP="003500A3">
      <w:pPr>
        <w:tabs>
          <w:tab w:val="left" w:pos="0"/>
        </w:tabs>
        <w:spacing w:after="0" w:line="240" w:lineRule="auto"/>
        <w:ind w:left="2832"/>
        <w:jc w:val="right"/>
        <w:rPr>
          <w:rFonts w:ascii="Times New Roman" w:hAnsi="Times New Roman" w:cs="Times New Roman"/>
          <w:i/>
          <w:iCs/>
          <w:color w:val="000000"/>
          <w:sz w:val="24"/>
          <w:szCs w:val="24"/>
          <w:lang w:eastAsia="uk-UA"/>
        </w:rPr>
      </w:pPr>
      <w:r w:rsidRPr="003500A3">
        <w:rPr>
          <w:rFonts w:ascii="Times New Roman" w:hAnsi="Times New Roman" w:cs="Times New Roman"/>
          <w:i/>
          <w:iCs/>
          <w:color w:val="000000"/>
          <w:sz w:val="24"/>
          <w:szCs w:val="24"/>
          <w:lang w:eastAsia="uk-UA"/>
        </w:rPr>
        <w:tab/>
      </w:r>
      <w:r w:rsidRPr="003500A3">
        <w:rPr>
          <w:rFonts w:ascii="Times New Roman" w:hAnsi="Times New Roman" w:cs="Times New Roman"/>
          <w:i/>
          <w:iCs/>
          <w:color w:val="000000"/>
          <w:sz w:val="24"/>
          <w:szCs w:val="24"/>
          <w:lang w:eastAsia="uk-UA"/>
        </w:rPr>
        <w:tab/>
        <w:t>виконавчої дирекції Фонду соціального</w:t>
      </w:r>
    </w:p>
    <w:p w:rsidR="00241223" w:rsidRPr="003500A3" w:rsidRDefault="00241223" w:rsidP="003500A3">
      <w:pPr>
        <w:tabs>
          <w:tab w:val="left" w:pos="0"/>
        </w:tabs>
        <w:spacing w:after="0" w:line="240" w:lineRule="auto"/>
        <w:ind w:left="2832"/>
        <w:jc w:val="right"/>
        <w:rPr>
          <w:rFonts w:ascii="Times New Roman" w:hAnsi="Times New Roman" w:cs="Times New Roman"/>
          <w:i/>
          <w:iCs/>
          <w:color w:val="000000"/>
          <w:sz w:val="24"/>
          <w:szCs w:val="24"/>
          <w:lang w:eastAsia="uk-UA"/>
        </w:rPr>
      </w:pPr>
      <w:r w:rsidRPr="003500A3">
        <w:rPr>
          <w:rFonts w:ascii="Times New Roman" w:hAnsi="Times New Roman" w:cs="Times New Roman"/>
          <w:i/>
          <w:iCs/>
          <w:color w:val="000000"/>
          <w:sz w:val="24"/>
          <w:szCs w:val="24"/>
          <w:lang w:eastAsia="uk-UA"/>
        </w:rPr>
        <w:tab/>
      </w:r>
      <w:r w:rsidRPr="003500A3">
        <w:rPr>
          <w:rFonts w:ascii="Times New Roman" w:hAnsi="Times New Roman" w:cs="Times New Roman"/>
          <w:i/>
          <w:iCs/>
          <w:color w:val="000000"/>
          <w:sz w:val="24"/>
          <w:szCs w:val="24"/>
          <w:lang w:eastAsia="uk-UA"/>
        </w:rPr>
        <w:tab/>
        <w:t xml:space="preserve">страхування України в Чернігівській області </w:t>
      </w:r>
    </w:p>
    <w:p w:rsidR="00241223" w:rsidRPr="00FB272D" w:rsidRDefault="00241223" w:rsidP="00C5322D">
      <w:pPr>
        <w:tabs>
          <w:tab w:val="left" w:pos="0"/>
        </w:tabs>
        <w:spacing w:after="0" w:line="240" w:lineRule="auto"/>
        <w:ind w:firstLine="709"/>
        <w:jc w:val="both"/>
        <w:rPr>
          <w:rFonts w:ascii="Times New Roman" w:hAnsi="Times New Roman" w:cs="Times New Roman"/>
          <w:i/>
          <w:iCs/>
          <w:color w:val="000000"/>
          <w:sz w:val="20"/>
          <w:szCs w:val="20"/>
        </w:rPr>
      </w:pPr>
    </w:p>
    <w:p w:rsidR="00241223" w:rsidRPr="009842BE" w:rsidRDefault="00241223" w:rsidP="00C5322D">
      <w:pPr>
        <w:tabs>
          <w:tab w:val="left" w:pos="0"/>
        </w:tabs>
        <w:spacing w:after="0" w:line="240" w:lineRule="auto"/>
        <w:ind w:firstLine="709"/>
        <w:jc w:val="both"/>
        <w:rPr>
          <w:rFonts w:ascii="Times New Roman" w:hAnsi="Times New Roman" w:cs="Times New Roman"/>
          <w:i/>
          <w:iCs/>
          <w:color w:val="000000"/>
          <w:sz w:val="24"/>
          <w:szCs w:val="24"/>
          <w:lang w:eastAsia="ru-RU"/>
        </w:rPr>
      </w:pPr>
      <w:r w:rsidRPr="009842BE">
        <w:rPr>
          <w:rFonts w:ascii="Times New Roman" w:hAnsi="Times New Roman" w:cs="Times New Roman"/>
          <w:i/>
          <w:iCs/>
          <w:color w:val="000000"/>
          <w:sz w:val="24"/>
          <w:szCs w:val="24"/>
          <w:lang w:eastAsia="uk-UA"/>
        </w:rPr>
        <w:tab/>
      </w:r>
      <w:r w:rsidRPr="009842BE">
        <w:rPr>
          <w:rFonts w:ascii="Times New Roman" w:hAnsi="Times New Roman" w:cs="Times New Roman"/>
          <w:i/>
          <w:iCs/>
          <w:color w:val="000000"/>
          <w:sz w:val="24"/>
          <w:szCs w:val="24"/>
          <w:lang w:eastAsia="uk-UA"/>
        </w:rPr>
        <w:tab/>
      </w:r>
      <w:r w:rsidRPr="009842BE">
        <w:rPr>
          <w:rFonts w:ascii="Times New Roman" w:hAnsi="Times New Roman" w:cs="Times New Roman"/>
          <w:i/>
          <w:iCs/>
          <w:color w:val="000000"/>
          <w:sz w:val="24"/>
          <w:szCs w:val="24"/>
          <w:lang w:eastAsia="uk-UA"/>
        </w:rPr>
        <w:tab/>
      </w:r>
      <w:r w:rsidRPr="009842BE">
        <w:rPr>
          <w:rFonts w:ascii="Times New Roman" w:hAnsi="Times New Roman" w:cs="Times New Roman"/>
          <w:i/>
          <w:iCs/>
          <w:color w:val="000000"/>
          <w:sz w:val="24"/>
          <w:szCs w:val="24"/>
          <w:lang w:eastAsia="uk-UA"/>
        </w:rPr>
        <w:tab/>
      </w:r>
      <w:r w:rsidRPr="009842BE">
        <w:rPr>
          <w:rFonts w:ascii="Times New Roman" w:hAnsi="Times New Roman" w:cs="Times New Roman"/>
          <w:i/>
          <w:iCs/>
          <w:color w:val="000000"/>
          <w:sz w:val="24"/>
          <w:szCs w:val="24"/>
          <w:lang w:eastAsia="uk-UA"/>
        </w:rPr>
        <w:tab/>
      </w:r>
    </w:p>
    <w:p w:rsidR="00241223" w:rsidRPr="00C5322D" w:rsidRDefault="00241223" w:rsidP="00C5322D">
      <w:pPr>
        <w:spacing w:after="0" w:line="240" w:lineRule="auto"/>
        <w:ind w:firstLine="709"/>
        <w:jc w:val="both"/>
        <w:rPr>
          <w:rFonts w:ascii="Times New Roman" w:hAnsi="Times New Roman" w:cs="Times New Roman"/>
          <w:sz w:val="26"/>
          <w:szCs w:val="26"/>
        </w:rPr>
      </w:pPr>
    </w:p>
    <w:sectPr w:rsidR="00241223" w:rsidRPr="00C5322D" w:rsidSect="00C5322D">
      <w:pgSz w:w="11906" w:h="16838"/>
      <w:pgMar w:top="568"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FC247B"/>
    <w:multiLevelType w:val="hybridMultilevel"/>
    <w:tmpl w:val="A9A831D6"/>
    <w:lvl w:ilvl="0" w:tplc="E968C9BC">
      <w:numFmt w:val="bullet"/>
      <w:lvlText w:val="-"/>
      <w:lvlJc w:val="left"/>
      <w:pPr>
        <w:ind w:left="1068" w:hanging="360"/>
      </w:pPr>
      <w:rPr>
        <w:rFonts w:ascii="Times New Roman" w:eastAsia="Times New Roman" w:hAnsi="Times New Roman" w:hint="default"/>
      </w:rPr>
    </w:lvl>
    <w:lvl w:ilvl="1" w:tplc="04190003">
      <w:start w:val="1"/>
      <w:numFmt w:val="bullet"/>
      <w:lvlText w:val="o"/>
      <w:lvlJc w:val="left"/>
      <w:pPr>
        <w:ind w:left="1788" w:hanging="360"/>
      </w:pPr>
      <w:rPr>
        <w:rFonts w:ascii="Courier New" w:hAnsi="Courier New" w:hint="default"/>
      </w:rPr>
    </w:lvl>
    <w:lvl w:ilvl="2" w:tplc="04190005">
      <w:start w:val="1"/>
      <w:numFmt w:val="bullet"/>
      <w:lvlText w:val=""/>
      <w:lvlJc w:val="left"/>
      <w:pPr>
        <w:ind w:left="2508" w:hanging="360"/>
      </w:pPr>
      <w:rPr>
        <w:rFonts w:ascii="Wingdings" w:hAnsi="Wingdings" w:cs="Wingdings" w:hint="default"/>
      </w:rPr>
    </w:lvl>
    <w:lvl w:ilvl="3" w:tplc="04190001">
      <w:start w:val="1"/>
      <w:numFmt w:val="bullet"/>
      <w:lvlText w:val=""/>
      <w:lvlJc w:val="left"/>
      <w:pPr>
        <w:ind w:left="3228" w:hanging="360"/>
      </w:pPr>
      <w:rPr>
        <w:rFonts w:ascii="Symbol" w:hAnsi="Symbol" w:cs="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cs="Wingdings" w:hint="default"/>
      </w:rPr>
    </w:lvl>
    <w:lvl w:ilvl="6" w:tplc="04190001">
      <w:start w:val="1"/>
      <w:numFmt w:val="bullet"/>
      <w:lvlText w:val=""/>
      <w:lvlJc w:val="left"/>
      <w:pPr>
        <w:ind w:left="5388" w:hanging="360"/>
      </w:pPr>
      <w:rPr>
        <w:rFonts w:ascii="Symbol" w:hAnsi="Symbol" w:cs="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cs="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2F6F"/>
    <w:rsid w:val="00076164"/>
    <w:rsid w:val="000764C3"/>
    <w:rsid w:val="00095090"/>
    <w:rsid w:val="000E4092"/>
    <w:rsid w:val="000F4FC4"/>
    <w:rsid w:val="00136AAF"/>
    <w:rsid w:val="00162AA5"/>
    <w:rsid w:val="00241223"/>
    <w:rsid w:val="002C0489"/>
    <w:rsid w:val="00300CCB"/>
    <w:rsid w:val="00302C6B"/>
    <w:rsid w:val="00304FD1"/>
    <w:rsid w:val="00322023"/>
    <w:rsid w:val="003500A3"/>
    <w:rsid w:val="00361359"/>
    <w:rsid w:val="00387EB0"/>
    <w:rsid w:val="004016EF"/>
    <w:rsid w:val="00452087"/>
    <w:rsid w:val="0045583A"/>
    <w:rsid w:val="004F1CBC"/>
    <w:rsid w:val="00514A86"/>
    <w:rsid w:val="00537D90"/>
    <w:rsid w:val="005A0F9C"/>
    <w:rsid w:val="005B4D2E"/>
    <w:rsid w:val="00624D60"/>
    <w:rsid w:val="00626A76"/>
    <w:rsid w:val="00646C92"/>
    <w:rsid w:val="0069618D"/>
    <w:rsid w:val="00733D40"/>
    <w:rsid w:val="00795749"/>
    <w:rsid w:val="008E0D87"/>
    <w:rsid w:val="00953AA4"/>
    <w:rsid w:val="00963313"/>
    <w:rsid w:val="009842BE"/>
    <w:rsid w:val="009D7D42"/>
    <w:rsid w:val="00A02B2D"/>
    <w:rsid w:val="00A461A9"/>
    <w:rsid w:val="00AE19A5"/>
    <w:rsid w:val="00AE47E0"/>
    <w:rsid w:val="00B038EF"/>
    <w:rsid w:val="00B53D62"/>
    <w:rsid w:val="00B72027"/>
    <w:rsid w:val="00C47274"/>
    <w:rsid w:val="00C5322D"/>
    <w:rsid w:val="00C664B6"/>
    <w:rsid w:val="00D26433"/>
    <w:rsid w:val="00D43472"/>
    <w:rsid w:val="00D818C9"/>
    <w:rsid w:val="00E02F6F"/>
    <w:rsid w:val="00E62769"/>
    <w:rsid w:val="00F35E15"/>
    <w:rsid w:val="00F80729"/>
    <w:rsid w:val="00F91A82"/>
    <w:rsid w:val="00FA0894"/>
    <w:rsid w:val="00FB272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5749"/>
    <w:pPr>
      <w:spacing w:after="200" w:line="276" w:lineRule="auto"/>
    </w:pPr>
    <w:rPr>
      <w:rFonts w:cs="Calibri"/>
      <w:lang w:val="uk-UA"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664B6"/>
    <w:pPr>
      <w:ind w:left="720"/>
    </w:pPr>
  </w:style>
</w:styles>
</file>

<file path=word/webSettings.xml><?xml version="1.0" encoding="utf-8"?>
<w:webSettings xmlns:r="http://schemas.openxmlformats.org/officeDocument/2006/relationships" xmlns:w="http://schemas.openxmlformats.org/wordprocessingml/2006/main">
  <w:divs>
    <w:div w:id="734203970">
      <w:marLeft w:val="0"/>
      <w:marRight w:val="0"/>
      <w:marTop w:val="0"/>
      <w:marBottom w:val="0"/>
      <w:divBdr>
        <w:top w:val="none" w:sz="0" w:space="0" w:color="auto"/>
        <w:left w:val="none" w:sz="0" w:space="0" w:color="auto"/>
        <w:bottom w:val="none" w:sz="0" w:space="0" w:color="auto"/>
        <w:right w:val="none" w:sz="0" w:space="0" w:color="auto"/>
      </w:divBdr>
    </w:div>
    <w:div w:id="734203971">
      <w:marLeft w:val="0"/>
      <w:marRight w:val="0"/>
      <w:marTop w:val="0"/>
      <w:marBottom w:val="0"/>
      <w:divBdr>
        <w:top w:val="none" w:sz="0" w:space="0" w:color="auto"/>
        <w:left w:val="none" w:sz="0" w:space="0" w:color="auto"/>
        <w:bottom w:val="none" w:sz="0" w:space="0" w:color="auto"/>
        <w:right w:val="none" w:sz="0" w:space="0" w:color="auto"/>
      </w:divBdr>
    </w:div>
    <w:div w:id="734203972">
      <w:marLeft w:val="0"/>
      <w:marRight w:val="0"/>
      <w:marTop w:val="0"/>
      <w:marBottom w:val="0"/>
      <w:divBdr>
        <w:top w:val="none" w:sz="0" w:space="0" w:color="auto"/>
        <w:left w:val="none" w:sz="0" w:space="0" w:color="auto"/>
        <w:bottom w:val="none" w:sz="0" w:space="0" w:color="auto"/>
        <w:right w:val="none" w:sz="0" w:space="0" w:color="auto"/>
      </w:divBdr>
    </w:div>
    <w:div w:id="7342039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Pages>
  <Words>752</Words>
  <Characters>4290</Characters>
  <Application>Microsoft Office Outlook</Application>
  <DocSecurity>0</DocSecurity>
  <Lines>0</Lines>
  <Paragraphs>0</Paragraphs>
  <ScaleCrop>false</ScaleCrop>
  <Company>Tycoon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ТРАНСПОРТНІ ЗАСОБИ НА ТЕРИТОРІЇ ПІДПРИЄМСТВА:</dc:title>
  <dc:subject/>
  <dc:creator>FSS</dc:creator>
  <cp:keywords/>
  <dc:description/>
  <cp:lastModifiedBy>______</cp:lastModifiedBy>
  <cp:revision>2</cp:revision>
  <dcterms:created xsi:type="dcterms:W3CDTF">2018-02-26T10:28:00Z</dcterms:created>
  <dcterms:modified xsi:type="dcterms:W3CDTF">2018-02-26T10:28:00Z</dcterms:modified>
</cp:coreProperties>
</file>